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D97D" w14:textId="77777777" w:rsidR="008A1399" w:rsidRPr="008014FA" w:rsidRDefault="00000000">
      <w:pPr>
        <w:pStyle w:val="Heading1"/>
        <w:rPr>
          <w:rFonts w:asciiTheme="minorHAnsi" w:hAnsiTheme="minorHAnsi" w:cstheme="minorHAnsi"/>
          <w:b/>
          <w:bCs/>
          <w:color w:val="000000" w:themeColor="text1"/>
          <w:sz w:val="24"/>
          <w:szCs w:val="24"/>
        </w:rPr>
      </w:pPr>
      <w:r w:rsidRPr="008014FA">
        <w:rPr>
          <w:rFonts w:asciiTheme="minorHAnsi" w:hAnsiTheme="minorHAnsi" w:cstheme="minorHAnsi"/>
          <w:b/>
          <w:bCs/>
          <w:color w:val="000000" w:themeColor="text1"/>
          <w:sz w:val="24"/>
          <w:szCs w:val="24"/>
        </w:rPr>
        <w:t>Mitigations That Matter: Zone Zero (0–1.5 Metre Non-Combustible Zone)</w:t>
      </w:r>
    </w:p>
    <w:p w14:paraId="5FB86BF9" w14:textId="6A682BAC" w:rsidR="008A1399" w:rsidRPr="008014FA" w:rsidRDefault="00000000">
      <w:pPr>
        <w:rPr>
          <w:rFonts w:asciiTheme="minorHAnsi" w:hAnsiTheme="minorHAnsi" w:cstheme="minorHAnsi"/>
          <w:sz w:val="24"/>
          <w:szCs w:val="24"/>
        </w:rPr>
      </w:pPr>
      <w:r w:rsidRPr="008014FA">
        <w:rPr>
          <w:rFonts w:asciiTheme="minorHAnsi" w:hAnsiTheme="minorHAnsi" w:cstheme="minorHAnsi"/>
          <w:i/>
          <w:iCs/>
          <w:sz w:val="24"/>
          <w:szCs w:val="24"/>
        </w:rPr>
        <w:t>Insurance Institute for Business &amp; Home Safety (IBHS) — YouTube</w:t>
      </w:r>
      <w:r w:rsidR="008014FA">
        <w:rPr>
          <w:rFonts w:asciiTheme="minorHAnsi" w:hAnsiTheme="minorHAnsi" w:cstheme="minorHAnsi"/>
          <w:i/>
          <w:iCs/>
          <w:sz w:val="24"/>
          <w:szCs w:val="24"/>
        </w:rPr>
        <w:t xml:space="preserve"> 19 August 2025</w:t>
      </w:r>
    </w:p>
    <w:p w14:paraId="411307F3" w14:textId="77777777" w:rsidR="008A1399" w:rsidRPr="008014FA" w:rsidRDefault="00000000">
      <w:pPr>
        <w:rPr>
          <w:rFonts w:asciiTheme="minorHAnsi" w:hAnsiTheme="minorHAnsi" w:cstheme="minorHAnsi"/>
          <w:sz w:val="24"/>
          <w:szCs w:val="24"/>
        </w:rPr>
      </w:pPr>
      <w:r w:rsidRPr="008014FA">
        <w:rPr>
          <w:rFonts w:asciiTheme="minorHAnsi" w:hAnsiTheme="minorHAnsi" w:cstheme="minorHAnsi"/>
          <w:i/>
          <w:iCs/>
          <w:sz w:val="24"/>
          <w:szCs w:val="24"/>
        </w:rPr>
        <w:t>Clean transcript — timestamps removed, distances converted from feet to metres.</w:t>
      </w:r>
    </w:p>
    <w:p w14:paraId="1224BC9D" w14:textId="77777777" w:rsidR="008A1399" w:rsidRPr="008014FA" w:rsidRDefault="008A1399">
      <w:pPr>
        <w:rPr>
          <w:rFonts w:asciiTheme="minorHAnsi" w:hAnsiTheme="minorHAnsi" w:cstheme="minorHAnsi"/>
          <w:sz w:val="24"/>
          <w:szCs w:val="24"/>
        </w:rPr>
      </w:pPr>
    </w:p>
    <w:p w14:paraId="7916266E" w14:textId="77777777" w:rsidR="008A1399" w:rsidRPr="008014FA" w:rsidRDefault="00000000">
      <w:pPr>
        <w:rPr>
          <w:rFonts w:asciiTheme="minorHAnsi" w:hAnsiTheme="minorHAnsi" w:cstheme="minorHAnsi"/>
          <w:sz w:val="24"/>
          <w:szCs w:val="24"/>
        </w:rPr>
      </w:pPr>
      <w:r w:rsidRPr="008014FA">
        <w:rPr>
          <w:rFonts w:asciiTheme="minorHAnsi" w:hAnsiTheme="minorHAnsi" w:cstheme="minorHAnsi"/>
          <w:sz w:val="24"/>
          <w:szCs w:val="24"/>
        </w:rPr>
        <w:t>The area within 1.5 metres of a home and any attachments is the most critical area of defensible space. However, this perimeter is often filled with highly combustible items like plants, mulch, wooden fences or gates, and outdoor furniture. During a wildfire, wind-driven embers can travel miles ahead of the fire front and accumulate in this zone, where they can ignite nearby materials and lead to direct flame contact with the home.</w:t>
      </w:r>
    </w:p>
    <w:p w14:paraId="1DAAF5E7" w14:textId="77777777" w:rsidR="008014FA" w:rsidRPr="008014FA" w:rsidRDefault="008014FA">
      <w:pPr>
        <w:rPr>
          <w:rFonts w:asciiTheme="minorHAnsi" w:hAnsiTheme="minorHAnsi" w:cstheme="minorHAnsi"/>
          <w:sz w:val="24"/>
          <w:szCs w:val="24"/>
        </w:rPr>
      </w:pPr>
    </w:p>
    <w:p w14:paraId="61CD551A" w14:textId="544607ED" w:rsidR="008A1399" w:rsidRPr="008014FA" w:rsidRDefault="00000000">
      <w:pPr>
        <w:rPr>
          <w:rFonts w:asciiTheme="minorHAnsi" w:hAnsiTheme="minorHAnsi" w:cstheme="minorHAnsi"/>
          <w:sz w:val="24"/>
          <w:szCs w:val="24"/>
        </w:rPr>
      </w:pPr>
      <w:r w:rsidRPr="008014FA">
        <w:rPr>
          <w:rFonts w:asciiTheme="minorHAnsi" w:hAnsiTheme="minorHAnsi" w:cstheme="minorHAnsi"/>
          <w:sz w:val="24"/>
          <w:szCs w:val="24"/>
        </w:rPr>
        <w:t>IBHS research shows that when embers are blown by high winds, they hit the walls of a home, bounce out to 1.5 metres, and accumulate at their base. Combustible items in this area, such as vegetation and wood mulch, act as both ember collectors and fuel, which can catch fire and bring flames and radiant heat dangerously close to the home.</w:t>
      </w:r>
    </w:p>
    <w:p w14:paraId="51AF58DC" w14:textId="77777777" w:rsidR="008014FA" w:rsidRPr="008014FA" w:rsidRDefault="008014FA">
      <w:pPr>
        <w:rPr>
          <w:rFonts w:asciiTheme="minorHAnsi" w:hAnsiTheme="minorHAnsi" w:cstheme="minorHAnsi"/>
          <w:sz w:val="24"/>
          <w:szCs w:val="24"/>
        </w:rPr>
      </w:pPr>
    </w:p>
    <w:p w14:paraId="1D46AC20" w14:textId="42A86820" w:rsidR="008A1399" w:rsidRPr="008014FA" w:rsidRDefault="00000000">
      <w:pPr>
        <w:rPr>
          <w:rFonts w:asciiTheme="minorHAnsi" w:hAnsiTheme="minorHAnsi" w:cstheme="minorHAnsi"/>
          <w:sz w:val="24"/>
          <w:szCs w:val="24"/>
        </w:rPr>
      </w:pPr>
      <w:r w:rsidRPr="008014FA">
        <w:rPr>
          <w:rFonts w:asciiTheme="minorHAnsi" w:hAnsiTheme="minorHAnsi" w:cstheme="minorHAnsi"/>
          <w:sz w:val="24"/>
          <w:szCs w:val="24"/>
        </w:rPr>
        <w:t>Combustible fences, such as wood or vinyl, pose another risk. Embers can ignite anywhere along the fence, and flames can travel along it like a candle wick, leading the fire directly to the home. While vinyl fencing is more fire-resistant than wood, it can still melt or ignite in extreme wildfire heat and spread fire to the home. To address this vulnerability, at a minimum, the first 1.5 metres surrounding a home and any attached structures must be non-combustible and kept completely free of materials or items that can burn.</w:t>
      </w:r>
    </w:p>
    <w:p w14:paraId="05879A61" w14:textId="77777777" w:rsidR="008014FA" w:rsidRPr="008014FA" w:rsidRDefault="008014FA">
      <w:pPr>
        <w:rPr>
          <w:rFonts w:asciiTheme="minorHAnsi" w:hAnsiTheme="minorHAnsi" w:cstheme="minorHAnsi"/>
          <w:sz w:val="24"/>
          <w:szCs w:val="24"/>
        </w:rPr>
      </w:pPr>
    </w:p>
    <w:p w14:paraId="3B460DC2" w14:textId="4EF0C377" w:rsidR="008A1399" w:rsidRPr="008014FA" w:rsidRDefault="00000000">
      <w:pPr>
        <w:rPr>
          <w:rFonts w:asciiTheme="minorHAnsi" w:hAnsiTheme="minorHAnsi" w:cstheme="minorHAnsi"/>
          <w:sz w:val="24"/>
          <w:szCs w:val="24"/>
        </w:rPr>
      </w:pPr>
      <w:r w:rsidRPr="008014FA">
        <w:rPr>
          <w:rFonts w:asciiTheme="minorHAnsi" w:hAnsiTheme="minorHAnsi" w:cstheme="minorHAnsi"/>
          <w:sz w:val="24"/>
          <w:szCs w:val="24"/>
        </w:rPr>
        <w:t>When all combustible items are removed from this area, it is referred to as the 0 to 1.5 metre non-combustible zone. This zone acts as a moat, creating a critical buffer designed to stop embers from sparking spot fires next to the structure. Measure the zone horizontally using a measuring tape from the exterior walls and, if present, the outermost post of a deck or covered porch, extending outward to 1.5 metres. This zone also extends vertically to the sky to include trees.</w:t>
      </w:r>
    </w:p>
    <w:p w14:paraId="59303360" w14:textId="77777777" w:rsidR="008014FA" w:rsidRPr="008014FA" w:rsidRDefault="008014FA">
      <w:pPr>
        <w:rPr>
          <w:rFonts w:asciiTheme="minorHAnsi" w:hAnsiTheme="minorHAnsi" w:cstheme="minorHAnsi"/>
          <w:sz w:val="24"/>
          <w:szCs w:val="24"/>
        </w:rPr>
      </w:pPr>
    </w:p>
    <w:p w14:paraId="098AA5EB" w14:textId="3E3A2F2A" w:rsidR="008A1399" w:rsidRPr="008014FA" w:rsidRDefault="00000000">
      <w:pPr>
        <w:rPr>
          <w:rFonts w:asciiTheme="minorHAnsi" w:hAnsiTheme="minorHAnsi" w:cstheme="minorHAnsi"/>
          <w:sz w:val="24"/>
          <w:szCs w:val="24"/>
        </w:rPr>
      </w:pPr>
      <w:r w:rsidRPr="008014FA">
        <w:rPr>
          <w:rFonts w:asciiTheme="minorHAnsi" w:hAnsiTheme="minorHAnsi" w:cstheme="minorHAnsi"/>
          <w:sz w:val="24"/>
          <w:szCs w:val="24"/>
        </w:rPr>
        <w:t>Within this zero to 1.5 metre non-combustible zone, vegetation, grass, and mulch must be removed to bare soil. This includes plants that are irrigated or classified as wildfire-resistant. These items can be replaced with non-combustible hardscape materials like gravel, pavers, or concrete.</w:t>
      </w:r>
    </w:p>
    <w:p w14:paraId="2A6DFE65" w14:textId="77777777" w:rsidR="008014FA" w:rsidRPr="008014FA" w:rsidRDefault="008014FA">
      <w:pPr>
        <w:rPr>
          <w:rFonts w:asciiTheme="minorHAnsi" w:hAnsiTheme="minorHAnsi" w:cstheme="minorHAnsi"/>
          <w:sz w:val="24"/>
          <w:szCs w:val="24"/>
        </w:rPr>
      </w:pPr>
    </w:p>
    <w:p w14:paraId="270BE511" w14:textId="292FD0E7" w:rsidR="008A1399" w:rsidRPr="008014FA" w:rsidRDefault="00000000">
      <w:pPr>
        <w:rPr>
          <w:rFonts w:asciiTheme="minorHAnsi" w:hAnsiTheme="minorHAnsi" w:cstheme="minorHAnsi"/>
          <w:sz w:val="24"/>
          <w:szCs w:val="24"/>
        </w:rPr>
      </w:pPr>
      <w:r w:rsidRPr="008014FA">
        <w:rPr>
          <w:rFonts w:asciiTheme="minorHAnsi" w:hAnsiTheme="minorHAnsi" w:cstheme="minorHAnsi"/>
          <w:sz w:val="24"/>
          <w:szCs w:val="24"/>
        </w:rPr>
        <w:t>Additionally, within 1.5 metres of the home, combustible materials like wood or vinyl must be replaced with a non-combustible material like metal, and all overhanging tree branches must be removed to help with maintenance from falling leaves and needles near the home. Finally, vehicles, firewood, wood, or plastic furniture or other combustible items cannot be stored in this zone since it must serve as a protective buffer to keep embers from igniting the home.</w:t>
      </w:r>
    </w:p>
    <w:p w14:paraId="0E5F759A" w14:textId="77777777" w:rsidR="008A1399" w:rsidRPr="008014FA" w:rsidRDefault="008A1399">
      <w:pPr>
        <w:rPr>
          <w:rFonts w:asciiTheme="minorHAnsi" w:hAnsiTheme="minorHAnsi" w:cstheme="minorHAnsi"/>
          <w:sz w:val="24"/>
          <w:szCs w:val="24"/>
        </w:rPr>
      </w:pPr>
    </w:p>
    <w:p w14:paraId="7F2F3FCD" w14:textId="77777777" w:rsidR="008A1399" w:rsidRPr="008014FA" w:rsidRDefault="00000000">
      <w:pPr>
        <w:rPr>
          <w:rFonts w:asciiTheme="minorHAnsi" w:hAnsiTheme="minorHAnsi" w:cstheme="minorHAnsi"/>
          <w:sz w:val="24"/>
          <w:szCs w:val="24"/>
        </w:rPr>
      </w:pPr>
      <w:r w:rsidRPr="008014FA">
        <w:rPr>
          <w:rFonts w:asciiTheme="minorHAnsi" w:hAnsiTheme="minorHAnsi" w:cstheme="minorHAnsi"/>
          <w:i/>
          <w:iCs/>
          <w:sz w:val="24"/>
          <w:szCs w:val="24"/>
        </w:rPr>
        <w:t>Source: IBHS, "Mitigations That Matter: Zone Zero", YouTube. Original imperial measurements converted to metric for Brown Hill FireAware Network use.</w:t>
      </w:r>
    </w:p>
    <w:sectPr w:rsidR="008A1399" w:rsidRPr="008014F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708A4"/>
    <w:multiLevelType w:val="hybridMultilevel"/>
    <w:tmpl w:val="7A7085DE"/>
    <w:lvl w:ilvl="0" w:tplc="09F8EC3A">
      <w:start w:val="1"/>
      <w:numFmt w:val="bullet"/>
      <w:lvlText w:val="●"/>
      <w:lvlJc w:val="left"/>
      <w:pPr>
        <w:ind w:left="720" w:hanging="360"/>
      </w:pPr>
    </w:lvl>
    <w:lvl w:ilvl="1" w:tplc="1182F1FC">
      <w:start w:val="1"/>
      <w:numFmt w:val="bullet"/>
      <w:lvlText w:val="○"/>
      <w:lvlJc w:val="left"/>
      <w:pPr>
        <w:ind w:left="1440" w:hanging="360"/>
      </w:pPr>
    </w:lvl>
    <w:lvl w:ilvl="2" w:tplc="1B68A754">
      <w:start w:val="1"/>
      <w:numFmt w:val="bullet"/>
      <w:lvlText w:val="■"/>
      <w:lvlJc w:val="left"/>
      <w:pPr>
        <w:ind w:left="2160" w:hanging="360"/>
      </w:pPr>
    </w:lvl>
    <w:lvl w:ilvl="3" w:tplc="B394A4AA">
      <w:start w:val="1"/>
      <w:numFmt w:val="bullet"/>
      <w:lvlText w:val="●"/>
      <w:lvlJc w:val="left"/>
      <w:pPr>
        <w:ind w:left="2880" w:hanging="360"/>
      </w:pPr>
    </w:lvl>
    <w:lvl w:ilvl="4" w:tplc="8AB6DFDA">
      <w:start w:val="1"/>
      <w:numFmt w:val="bullet"/>
      <w:lvlText w:val="○"/>
      <w:lvlJc w:val="left"/>
      <w:pPr>
        <w:ind w:left="3600" w:hanging="360"/>
      </w:pPr>
    </w:lvl>
    <w:lvl w:ilvl="5" w:tplc="544AF7DC">
      <w:start w:val="1"/>
      <w:numFmt w:val="bullet"/>
      <w:lvlText w:val="■"/>
      <w:lvlJc w:val="left"/>
      <w:pPr>
        <w:ind w:left="4320" w:hanging="360"/>
      </w:pPr>
    </w:lvl>
    <w:lvl w:ilvl="6" w:tplc="6D0CEF16">
      <w:start w:val="1"/>
      <w:numFmt w:val="bullet"/>
      <w:lvlText w:val="●"/>
      <w:lvlJc w:val="left"/>
      <w:pPr>
        <w:ind w:left="5040" w:hanging="360"/>
      </w:pPr>
    </w:lvl>
    <w:lvl w:ilvl="7" w:tplc="DC4A870E">
      <w:start w:val="1"/>
      <w:numFmt w:val="bullet"/>
      <w:lvlText w:val="●"/>
      <w:lvlJc w:val="left"/>
      <w:pPr>
        <w:ind w:left="5760" w:hanging="360"/>
      </w:pPr>
    </w:lvl>
    <w:lvl w:ilvl="8" w:tplc="8AC4E918">
      <w:start w:val="1"/>
      <w:numFmt w:val="bullet"/>
      <w:lvlText w:val="●"/>
      <w:lvlJc w:val="left"/>
      <w:pPr>
        <w:ind w:left="6480" w:hanging="360"/>
      </w:pPr>
    </w:lvl>
  </w:abstractNum>
  <w:num w:numId="1" w16cid:durableId="1879116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399"/>
    <w:rsid w:val="008014FA"/>
    <w:rsid w:val="008A1399"/>
    <w:rsid w:val="00EA3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8D53"/>
  <w15:docId w15:val="{D900AA51-03BC-4920-B13D-87409381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Hazen Cleary</cp:lastModifiedBy>
  <cp:revision>2</cp:revision>
  <dcterms:created xsi:type="dcterms:W3CDTF">2026-08-13T01:37:00Z</dcterms:created>
  <dcterms:modified xsi:type="dcterms:W3CDTF">2026-08-13T01:44:00Z</dcterms:modified>
</cp:coreProperties>
</file>