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00B5F7" w14:textId="7636E1DC" w:rsidR="00757433" w:rsidRPr="00757433" w:rsidRDefault="00000000" w:rsidP="00757433">
      <w:pPr>
        <w:pStyle w:val="Heading1"/>
        <w:rPr>
          <w:rFonts w:asciiTheme="minorHAnsi" w:hAnsiTheme="minorHAnsi" w:cstheme="minorHAnsi"/>
          <w:b/>
          <w:bCs/>
          <w:color w:val="000000" w:themeColor="text1"/>
          <w:sz w:val="24"/>
          <w:szCs w:val="24"/>
        </w:rPr>
      </w:pPr>
      <w:r w:rsidRPr="00757433">
        <w:rPr>
          <w:rFonts w:asciiTheme="minorHAnsi" w:hAnsiTheme="minorHAnsi" w:cstheme="minorHAnsi"/>
          <w:b/>
          <w:bCs/>
          <w:color w:val="000000" w:themeColor="text1"/>
          <w:sz w:val="24"/>
          <w:szCs w:val="24"/>
        </w:rPr>
        <w:t>Mitigations That Matter: 1.5–</w:t>
      </w:r>
      <w:r w:rsidR="00757433" w:rsidRPr="00757433">
        <w:rPr>
          <w:rFonts w:asciiTheme="minorHAnsi" w:hAnsiTheme="minorHAnsi" w:cstheme="minorHAnsi"/>
          <w:b/>
          <w:bCs/>
          <w:color w:val="000000" w:themeColor="text1"/>
          <w:sz w:val="24"/>
          <w:szCs w:val="24"/>
        </w:rPr>
        <w:t>10</w:t>
      </w:r>
      <w:r w:rsidRPr="00757433">
        <w:rPr>
          <w:rFonts w:asciiTheme="minorHAnsi" w:hAnsiTheme="minorHAnsi" w:cstheme="minorHAnsi"/>
          <w:b/>
          <w:bCs/>
          <w:color w:val="000000" w:themeColor="text1"/>
          <w:sz w:val="24"/>
          <w:szCs w:val="24"/>
        </w:rPr>
        <w:t xml:space="preserve"> Metre </w:t>
      </w:r>
      <w:r w:rsidR="005E172C">
        <w:rPr>
          <w:rFonts w:asciiTheme="minorHAnsi" w:hAnsiTheme="minorHAnsi" w:cstheme="minorHAnsi"/>
          <w:b/>
          <w:bCs/>
          <w:color w:val="000000" w:themeColor="text1"/>
          <w:sz w:val="24"/>
          <w:szCs w:val="24"/>
        </w:rPr>
        <w:t xml:space="preserve">Intermediate </w:t>
      </w:r>
      <w:r w:rsidR="00757433" w:rsidRPr="00757433">
        <w:rPr>
          <w:rFonts w:asciiTheme="minorHAnsi" w:hAnsiTheme="minorHAnsi" w:cstheme="minorHAnsi"/>
          <w:b/>
          <w:bCs/>
          <w:color w:val="000000" w:themeColor="text1"/>
          <w:sz w:val="24"/>
          <w:szCs w:val="24"/>
        </w:rPr>
        <w:t>Zone 1</w:t>
      </w:r>
    </w:p>
    <w:p w14:paraId="544D2BBB" w14:textId="7D30A396" w:rsidR="00814F6B" w:rsidRPr="00757433" w:rsidRDefault="00000000" w:rsidP="00757433">
      <w:pPr>
        <w:pStyle w:val="Heading1"/>
        <w:rPr>
          <w:rFonts w:asciiTheme="minorHAnsi" w:hAnsiTheme="minorHAnsi" w:cstheme="minorHAnsi"/>
          <w:color w:val="000000" w:themeColor="text1"/>
          <w:sz w:val="24"/>
          <w:szCs w:val="24"/>
        </w:rPr>
      </w:pPr>
      <w:r w:rsidRPr="00757433">
        <w:rPr>
          <w:rFonts w:asciiTheme="minorHAnsi" w:hAnsiTheme="minorHAnsi" w:cstheme="minorHAnsi"/>
          <w:i/>
          <w:iCs/>
          <w:color w:val="000000" w:themeColor="text1"/>
          <w:sz w:val="24"/>
          <w:szCs w:val="24"/>
        </w:rPr>
        <w:t>Insurance Institute for Business &amp; Home Safety (IBHS) — YouTube, 19 August 2025</w:t>
      </w:r>
    </w:p>
    <w:p w14:paraId="2F93896A" w14:textId="77777777" w:rsidR="00814F6B" w:rsidRPr="00757433" w:rsidRDefault="00000000">
      <w:pPr>
        <w:rPr>
          <w:rFonts w:asciiTheme="minorHAnsi" w:hAnsiTheme="minorHAnsi" w:cstheme="minorHAnsi"/>
          <w:sz w:val="24"/>
          <w:szCs w:val="24"/>
        </w:rPr>
      </w:pPr>
      <w:r w:rsidRPr="00757433">
        <w:rPr>
          <w:rFonts w:asciiTheme="minorHAnsi" w:hAnsiTheme="minorHAnsi" w:cstheme="minorHAnsi"/>
          <w:i/>
          <w:iCs/>
          <w:sz w:val="24"/>
          <w:szCs w:val="24"/>
        </w:rPr>
        <w:t>Clean transcript — timestamps removed, distances converted from feet/inches to metres.</w:t>
      </w:r>
    </w:p>
    <w:p w14:paraId="4A0B713D" w14:textId="77777777" w:rsidR="00814F6B" w:rsidRPr="00757433" w:rsidRDefault="00814F6B">
      <w:pPr>
        <w:rPr>
          <w:rFonts w:asciiTheme="minorHAnsi" w:hAnsiTheme="minorHAnsi" w:cstheme="minorHAnsi"/>
          <w:sz w:val="24"/>
          <w:szCs w:val="24"/>
        </w:rPr>
      </w:pPr>
    </w:p>
    <w:p w14:paraId="189FE243" w14:textId="4FEFD52F" w:rsidR="00814F6B" w:rsidRPr="00757433" w:rsidRDefault="00000000">
      <w:pPr>
        <w:rPr>
          <w:rFonts w:asciiTheme="minorHAnsi" w:hAnsiTheme="minorHAnsi" w:cstheme="minorHAnsi"/>
          <w:sz w:val="24"/>
          <w:szCs w:val="24"/>
        </w:rPr>
      </w:pPr>
      <w:r w:rsidRPr="00757433">
        <w:rPr>
          <w:rFonts w:asciiTheme="minorHAnsi" w:hAnsiTheme="minorHAnsi" w:cstheme="minorHAnsi"/>
          <w:sz w:val="24"/>
          <w:szCs w:val="24"/>
        </w:rPr>
        <w:t>The area around a home is often filled with trees, shrubs, sheds, and storage items that can act as fuel for a wildfire. Defensible space refers to the strategic management of these types of items to reduce wildfire risk. During a wildfire, windblown embers, which are capable of travelling miles ahead of the fire</w:t>
      </w:r>
      <w:r w:rsidR="00757433" w:rsidRPr="00757433">
        <w:rPr>
          <w:rFonts w:asciiTheme="minorHAnsi" w:hAnsiTheme="minorHAnsi" w:cstheme="minorHAnsi"/>
          <w:sz w:val="24"/>
          <w:szCs w:val="24"/>
        </w:rPr>
        <w:t xml:space="preserve"> </w:t>
      </w:r>
      <w:r w:rsidRPr="00757433">
        <w:rPr>
          <w:rFonts w:asciiTheme="minorHAnsi" w:hAnsiTheme="minorHAnsi" w:cstheme="minorHAnsi"/>
          <w:sz w:val="24"/>
          <w:szCs w:val="24"/>
        </w:rPr>
        <w:t>front, can ignite these materials and start spot fires that can spread to the home.</w:t>
      </w:r>
    </w:p>
    <w:p w14:paraId="09925F47" w14:textId="77777777" w:rsidR="00757433" w:rsidRDefault="00757433">
      <w:pPr>
        <w:rPr>
          <w:rFonts w:asciiTheme="minorHAnsi" w:hAnsiTheme="minorHAnsi" w:cstheme="minorHAnsi"/>
          <w:sz w:val="24"/>
          <w:szCs w:val="24"/>
        </w:rPr>
      </w:pPr>
    </w:p>
    <w:p w14:paraId="48B7EEBE" w14:textId="0B74594C" w:rsidR="00814F6B" w:rsidRPr="00757433" w:rsidRDefault="00000000">
      <w:pPr>
        <w:rPr>
          <w:rFonts w:asciiTheme="minorHAnsi" w:hAnsiTheme="minorHAnsi" w:cstheme="minorHAnsi"/>
          <w:sz w:val="24"/>
          <w:szCs w:val="24"/>
        </w:rPr>
      </w:pPr>
      <w:r w:rsidRPr="00757433">
        <w:rPr>
          <w:rFonts w:asciiTheme="minorHAnsi" w:hAnsiTheme="minorHAnsi" w:cstheme="minorHAnsi"/>
          <w:sz w:val="24"/>
          <w:szCs w:val="24"/>
        </w:rPr>
        <w:t>Overgrown grass, fallen leaves, pine needles, branches, shrubs, and low-hanging tree limbs, once ignited, create ladder fuels that allow ground fires to climb into tree canopies. Dense foliage, such as closely spaced shrubs and trees, can form connective pathways for the fire, enabling it to spread quickly from plant to plant and tree to tree, increasing fire intensity and rate of spread.</w:t>
      </w:r>
    </w:p>
    <w:p w14:paraId="2649573B" w14:textId="77777777" w:rsidR="00757433" w:rsidRPr="00757433" w:rsidRDefault="00757433">
      <w:pPr>
        <w:rPr>
          <w:rFonts w:asciiTheme="minorHAnsi" w:hAnsiTheme="minorHAnsi" w:cstheme="minorHAnsi"/>
          <w:sz w:val="24"/>
          <w:szCs w:val="24"/>
        </w:rPr>
      </w:pPr>
    </w:p>
    <w:p w14:paraId="534ED706" w14:textId="54A2F55B" w:rsidR="00814F6B" w:rsidRPr="00757433" w:rsidRDefault="00000000">
      <w:pPr>
        <w:rPr>
          <w:rFonts w:asciiTheme="minorHAnsi" w:hAnsiTheme="minorHAnsi" w:cstheme="minorHAnsi"/>
          <w:sz w:val="24"/>
          <w:szCs w:val="24"/>
        </w:rPr>
      </w:pPr>
      <w:r w:rsidRPr="00757433">
        <w:rPr>
          <w:rFonts w:asciiTheme="minorHAnsi" w:hAnsiTheme="minorHAnsi" w:cstheme="minorHAnsi"/>
          <w:sz w:val="24"/>
          <w:szCs w:val="24"/>
        </w:rPr>
        <w:t xml:space="preserve">IBHS wind-driven building-to-building fire spread research shows that large detached structures within </w:t>
      </w:r>
      <w:r w:rsidR="00757433">
        <w:rPr>
          <w:rFonts w:asciiTheme="minorHAnsi" w:hAnsiTheme="minorHAnsi" w:cstheme="minorHAnsi"/>
          <w:sz w:val="24"/>
          <w:szCs w:val="24"/>
        </w:rPr>
        <w:t>10</w:t>
      </w:r>
      <w:r w:rsidRPr="00757433">
        <w:rPr>
          <w:rFonts w:asciiTheme="minorHAnsi" w:hAnsiTheme="minorHAnsi" w:cstheme="minorHAnsi"/>
          <w:sz w:val="24"/>
          <w:szCs w:val="24"/>
        </w:rPr>
        <w:t xml:space="preserve"> metres — like sheds and granny flats (ADUs) — can also pose a high wildfire risk to a home. When ignited, these structures contribute a significant fuel load, burn longer than vegetation, and expose the home to increased radiant heat, flames, and embers. Other combustible items such as hot tubs, outdoor kitchens, large fuel tanks, and combustible water storage tanks can also increase risk if left unmitigated or placed too close to the home.</w:t>
      </w:r>
    </w:p>
    <w:p w14:paraId="445A55C7" w14:textId="77777777" w:rsidR="00757433" w:rsidRPr="00757433" w:rsidRDefault="00757433">
      <w:pPr>
        <w:rPr>
          <w:rFonts w:asciiTheme="minorHAnsi" w:hAnsiTheme="minorHAnsi" w:cstheme="minorHAnsi"/>
          <w:sz w:val="24"/>
          <w:szCs w:val="24"/>
        </w:rPr>
      </w:pPr>
    </w:p>
    <w:p w14:paraId="129BDF84" w14:textId="0B831BFC" w:rsidR="00814F6B" w:rsidRPr="00757433" w:rsidRDefault="00000000">
      <w:pPr>
        <w:rPr>
          <w:rFonts w:asciiTheme="minorHAnsi" w:hAnsiTheme="minorHAnsi" w:cstheme="minorHAnsi"/>
          <w:sz w:val="24"/>
          <w:szCs w:val="24"/>
        </w:rPr>
      </w:pPr>
      <w:r w:rsidRPr="00757433">
        <w:rPr>
          <w:rFonts w:asciiTheme="minorHAnsi" w:hAnsiTheme="minorHAnsi" w:cstheme="minorHAnsi"/>
          <w:sz w:val="24"/>
          <w:szCs w:val="24"/>
        </w:rPr>
        <w:t xml:space="preserve">Creating and maintaining a 1.5 to </w:t>
      </w:r>
      <w:r w:rsidR="00757433">
        <w:rPr>
          <w:rFonts w:asciiTheme="minorHAnsi" w:hAnsiTheme="minorHAnsi" w:cstheme="minorHAnsi"/>
          <w:sz w:val="24"/>
          <w:szCs w:val="24"/>
        </w:rPr>
        <w:t>10</w:t>
      </w:r>
      <w:r w:rsidRPr="00757433">
        <w:rPr>
          <w:rFonts w:asciiTheme="minorHAnsi" w:hAnsiTheme="minorHAnsi" w:cstheme="minorHAnsi"/>
          <w:sz w:val="24"/>
          <w:szCs w:val="24"/>
        </w:rPr>
        <w:t xml:space="preserve"> metre defensible space zone is crucial for reducing fire intensity and slowing the spread to the home. It ensures that appropriate horizontal and vertical separations are in place between vegetation, structures and other combustible materials on the site. The 1.5 to </w:t>
      </w:r>
      <w:r w:rsidR="00757433">
        <w:rPr>
          <w:rFonts w:asciiTheme="minorHAnsi" w:hAnsiTheme="minorHAnsi" w:cstheme="minorHAnsi"/>
          <w:sz w:val="24"/>
          <w:szCs w:val="24"/>
        </w:rPr>
        <w:t>10</w:t>
      </w:r>
      <w:r w:rsidRPr="00757433">
        <w:rPr>
          <w:rFonts w:asciiTheme="minorHAnsi" w:hAnsiTheme="minorHAnsi" w:cstheme="minorHAnsi"/>
          <w:sz w:val="24"/>
          <w:szCs w:val="24"/>
        </w:rPr>
        <w:t xml:space="preserve"> metre defensible space zone is measured horizontally from 1.5 metres away from the home's exterior walls and extends outward to 9 metres, or to the property line.</w:t>
      </w:r>
    </w:p>
    <w:p w14:paraId="184C060F" w14:textId="77777777" w:rsidR="00757433" w:rsidRPr="00757433" w:rsidRDefault="00757433">
      <w:pPr>
        <w:rPr>
          <w:rFonts w:asciiTheme="minorHAnsi" w:hAnsiTheme="minorHAnsi" w:cstheme="minorHAnsi"/>
          <w:sz w:val="24"/>
          <w:szCs w:val="24"/>
        </w:rPr>
      </w:pPr>
    </w:p>
    <w:p w14:paraId="00DA98BC" w14:textId="7EB40716" w:rsidR="00814F6B" w:rsidRPr="00757433" w:rsidRDefault="00000000">
      <w:pPr>
        <w:rPr>
          <w:rFonts w:asciiTheme="minorHAnsi" w:hAnsiTheme="minorHAnsi" w:cstheme="minorHAnsi"/>
          <w:sz w:val="24"/>
          <w:szCs w:val="24"/>
        </w:rPr>
      </w:pPr>
      <w:r w:rsidRPr="00757433">
        <w:rPr>
          <w:rFonts w:asciiTheme="minorHAnsi" w:hAnsiTheme="minorHAnsi" w:cstheme="minorHAnsi"/>
          <w:sz w:val="24"/>
          <w:szCs w:val="24"/>
        </w:rPr>
        <w:t xml:space="preserve">To reduce wildfire risk, maintain your trees and shrubs within </w:t>
      </w:r>
      <w:r w:rsidR="00757433">
        <w:rPr>
          <w:rFonts w:asciiTheme="minorHAnsi" w:hAnsiTheme="minorHAnsi" w:cstheme="minorHAnsi"/>
          <w:sz w:val="24"/>
          <w:szCs w:val="24"/>
        </w:rPr>
        <w:t>10</w:t>
      </w:r>
      <w:r w:rsidRPr="00757433">
        <w:rPr>
          <w:rFonts w:asciiTheme="minorHAnsi" w:hAnsiTheme="minorHAnsi" w:cstheme="minorHAnsi"/>
          <w:sz w:val="24"/>
          <w:szCs w:val="24"/>
        </w:rPr>
        <w:t xml:space="preserve"> metres. Prune tree branches to provide a 1.8 metre vertical clearance from the ground and remove shrubs beneath them. Maintain at least 3 metres of horizontal space between tree canopies and any chimneys. Privacy rows</w:t>
      </w:r>
      <w:r w:rsidR="00757433">
        <w:rPr>
          <w:rFonts w:asciiTheme="minorHAnsi" w:hAnsiTheme="minorHAnsi" w:cstheme="minorHAnsi"/>
          <w:sz w:val="24"/>
          <w:szCs w:val="24"/>
        </w:rPr>
        <w:t xml:space="preserve"> (hedges)</w:t>
      </w:r>
      <w:r w:rsidRPr="00757433">
        <w:rPr>
          <w:rFonts w:asciiTheme="minorHAnsi" w:hAnsiTheme="minorHAnsi" w:cstheme="minorHAnsi"/>
          <w:sz w:val="24"/>
          <w:szCs w:val="24"/>
        </w:rPr>
        <w:t xml:space="preserve"> of trees must be removed. For shrubs, keep clusters under 3 metres wide and space them at least twice the width of the tallest shrub. Cut grass under 10cm and remove any dead or dying vegetation, and store firewood at least </w:t>
      </w:r>
      <w:r w:rsidR="00757433">
        <w:rPr>
          <w:rFonts w:asciiTheme="minorHAnsi" w:hAnsiTheme="minorHAnsi" w:cstheme="minorHAnsi"/>
          <w:sz w:val="24"/>
          <w:szCs w:val="24"/>
        </w:rPr>
        <w:t>10</w:t>
      </w:r>
      <w:r w:rsidRPr="00757433">
        <w:rPr>
          <w:rFonts w:asciiTheme="minorHAnsi" w:hAnsiTheme="minorHAnsi" w:cstheme="minorHAnsi"/>
          <w:sz w:val="24"/>
          <w:szCs w:val="24"/>
        </w:rPr>
        <w:t xml:space="preserve"> metres from the home or inside an enclosed, mitigated structure.</w:t>
      </w:r>
    </w:p>
    <w:p w14:paraId="553BBAAF" w14:textId="77777777" w:rsidR="00757433" w:rsidRPr="00757433" w:rsidRDefault="00757433">
      <w:pPr>
        <w:rPr>
          <w:rFonts w:asciiTheme="minorHAnsi" w:hAnsiTheme="minorHAnsi" w:cstheme="minorHAnsi"/>
          <w:sz w:val="24"/>
          <w:szCs w:val="24"/>
        </w:rPr>
      </w:pPr>
    </w:p>
    <w:p w14:paraId="5D22063D" w14:textId="37911E14" w:rsidR="00814F6B" w:rsidRPr="00757433" w:rsidRDefault="00000000">
      <w:pPr>
        <w:rPr>
          <w:rFonts w:asciiTheme="minorHAnsi" w:hAnsiTheme="minorHAnsi" w:cstheme="minorHAnsi"/>
          <w:sz w:val="24"/>
          <w:szCs w:val="24"/>
        </w:rPr>
      </w:pPr>
      <w:r w:rsidRPr="00757433">
        <w:rPr>
          <w:rFonts w:asciiTheme="minorHAnsi" w:hAnsiTheme="minorHAnsi" w:cstheme="minorHAnsi"/>
          <w:sz w:val="24"/>
          <w:szCs w:val="24"/>
        </w:rPr>
        <w:t>To reduce wildfire risk, detached structures such as garages, pergolas, playsets, and greenhouses must be treated like the home. Each detached structure needs a 0 to 1.5 metre non-combustible zone around it, a Class A roof covering or retrofitted pergola slats, flame- and ember-resistant vents, non-combustible gutters, and at least 15cm of non-combustible material at the base of all exterior walls.</w:t>
      </w:r>
    </w:p>
    <w:p w14:paraId="0FBF2087" w14:textId="77777777" w:rsidR="00757433" w:rsidRPr="00757433" w:rsidRDefault="00757433">
      <w:pPr>
        <w:rPr>
          <w:rFonts w:asciiTheme="minorHAnsi" w:hAnsiTheme="minorHAnsi" w:cstheme="minorHAnsi"/>
          <w:sz w:val="24"/>
          <w:szCs w:val="24"/>
        </w:rPr>
      </w:pPr>
    </w:p>
    <w:p w14:paraId="7D5636DD" w14:textId="40877BEB" w:rsidR="00814F6B" w:rsidRPr="00757433" w:rsidRDefault="00000000">
      <w:pPr>
        <w:rPr>
          <w:rFonts w:asciiTheme="minorHAnsi" w:hAnsiTheme="minorHAnsi" w:cstheme="minorHAnsi"/>
          <w:sz w:val="24"/>
          <w:szCs w:val="24"/>
        </w:rPr>
      </w:pPr>
      <w:r w:rsidRPr="00757433">
        <w:rPr>
          <w:rFonts w:asciiTheme="minorHAnsi" w:hAnsiTheme="minorHAnsi" w:cstheme="minorHAnsi"/>
          <w:sz w:val="24"/>
          <w:szCs w:val="24"/>
        </w:rPr>
        <w:t xml:space="preserve">Limit the number of structures within </w:t>
      </w:r>
      <w:r w:rsidR="00757433">
        <w:rPr>
          <w:rFonts w:asciiTheme="minorHAnsi" w:hAnsiTheme="minorHAnsi" w:cstheme="minorHAnsi"/>
          <w:sz w:val="24"/>
          <w:szCs w:val="24"/>
        </w:rPr>
        <w:t>10</w:t>
      </w:r>
      <w:r w:rsidRPr="00757433">
        <w:rPr>
          <w:rFonts w:asciiTheme="minorHAnsi" w:hAnsiTheme="minorHAnsi" w:cstheme="minorHAnsi"/>
          <w:sz w:val="24"/>
          <w:szCs w:val="24"/>
        </w:rPr>
        <w:t xml:space="preserve"> metres to no more than three, and space each structure at least 3 metres from the home and from each other. For even greater fire risk reduction, place large structures </w:t>
      </w:r>
      <w:r w:rsidR="00757433">
        <w:rPr>
          <w:rFonts w:asciiTheme="minorHAnsi" w:hAnsiTheme="minorHAnsi" w:cstheme="minorHAnsi"/>
          <w:sz w:val="24"/>
          <w:szCs w:val="24"/>
        </w:rPr>
        <w:t>10</w:t>
      </w:r>
      <w:r w:rsidRPr="00757433">
        <w:rPr>
          <w:rFonts w:asciiTheme="minorHAnsi" w:hAnsiTheme="minorHAnsi" w:cstheme="minorHAnsi"/>
          <w:sz w:val="24"/>
          <w:szCs w:val="24"/>
        </w:rPr>
        <w:t xml:space="preserve"> metres or more away from the home.</w:t>
      </w:r>
    </w:p>
    <w:p w14:paraId="6F83A662" w14:textId="77777777" w:rsidR="00814F6B" w:rsidRPr="00757433" w:rsidRDefault="00814F6B">
      <w:pPr>
        <w:rPr>
          <w:rFonts w:asciiTheme="minorHAnsi" w:hAnsiTheme="minorHAnsi" w:cstheme="minorHAnsi"/>
          <w:sz w:val="24"/>
          <w:szCs w:val="24"/>
        </w:rPr>
      </w:pPr>
    </w:p>
    <w:p w14:paraId="2892DF3C" w14:textId="77777777" w:rsidR="00814F6B" w:rsidRPr="00757433" w:rsidRDefault="00000000">
      <w:pPr>
        <w:rPr>
          <w:rFonts w:asciiTheme="minorHAnsi" w:hAnsiTheme="minorHAnsi" w:cstheme="minorHAnsi"/>
          <w:sz w:val="24"/>
          <w:szCs w:val="24"/>
        </w:rPr>
      </w:pPr>
      <w:r w:rsidRPr="00757433">
        <w:rPr>
          <w:rFonts w:asciiTheme="minorHAnsi" w:hAnsiTheme="minorHAnsi" w:cstheme="minorHAnsi"/>
          <w:i/>
          <w:iCs/>
          <w:sz w:val="24"/>
          <w:szCs w:val="24"/>
        </w:rPr>
        <w:t>Source: IBHS, "Mitigations That Matter: 5–30 Foot Defensible Space Zone", YouTube, 19 August 2025. Original imperial measurements converted to metric for Brown Hill FireAware Network use.</w:t>
      </w:r>
    </w:p>
    <w:sectPr w:rsidR="00814F6B" w:rsidRPr="00757433" w:rsidSect="00757433">
      <w:pgSz w:w="11906" w:h="16838"/>
      <w:pgMar w:top="993" w:right="1440" w:bottom="851" w:left="993"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DB3C5B"/>
    <w:multiLevelType w:val="hybridMultilevel"/>
    <w:tmpl w:val="6CDEFD50"/>
    <w:lvl w:ilvl="0" w:tplc="74E4D5A4">
      <w:start w:val="1"/>
      <w:numFmt w:val="bullet"/>
      <w:lvlText w:val="●"/>
      <w:lvlJc w:val="left"/>
      <w:pPr>
        <w:ind w:left="720" w:hanging="360"/>
      </w:pPr>
    </w:lvl>
    <w:lvl w:ilvl="1" w:tplc="9782E516">
      <w:start w:val="1"/>
      <w:numFmt w:val="bullet"/>
      <w:lvlText w:val="○"/>
      <w:lvlJc w:val="left"/>
      <w:pPr>
        <w:ind w:left="1440" w:hanging="360"/>
      </w:pPr>
    </w:lvl>
    <w:lvl w:ilvl="2" w:tplc="1CB0D1BC">
      <w:start w:val="1"/>
      <w:numFmt w:val="bullet"/>
      <w:lvlText w:val="■"/>
      <w:lvlJc w:val="left"/>
      <w:pPr>
        <w:ind w:left="2160" w:hanging="360"/>
      </w:pPr>
    </w:lvl>
    <w:lvl w:ilvl="3" w:tplc="B5A05414">
      <w:start w:val="1"/>
      <w:numFmt w:val="bullet"/>
      <w:lvlText w:val="●"/>
      <w:lvlJc w:val="left"/>
      <w:pPr>
        <w:ind w:left="2880" w:hanging="360"/>
      </w:pPr>
    </w:lvl>
    <w:lvl w:ilvl="4" w:tplc="FBC09278">
      <w:start w:val="1"/>
      <w:numFmt w:val="bullet"/>
      <w:lvlText w:val="○"/>
      <w:lvlJc w:val="left"/>
      <w:pPr>
        <w:ind w:left="3600" w:hanging="360"/>
      </w:pPr>
    </w:lvl>
    <w:lvl w:ilvl="5" w:tplc="A52641A0">
      <w:start w:val="1"/>
      <w:numFmt w:val="bullet"/>
      <w:lvlText w:val="■"/>
      <w:lvlJc w:val="left"/>
      <w:pPr>
        <w:ind w:left="4320" w:hanging="360"/>
      </w:pPr>
    </w:lvl>
    <w:lvl w:ilvl="6" w:tplc="E21E1DC2">
      <w:start w:val="1"/>
      <w:numFmt w:val="bullet"/>
      <w:lvlText w:val="●"/>
      <w:lvlJc w:val="left"/>
      <w:pPr>
        <w:ind w:left="5040" w:hanging="360"/>
      </w:pPr>
    </w:lvl>
    <w:lvl w:ilvl="7" w:tplc="0D6408DA">
      <w:start w:val="1"/>
      <w:numFmt w:val="bullet"/>
      <w:lvlText w:val="●"/>
      <w:lvlJc w:val="left"/>
      <w:pPr>
        <w:ind w:left="5760" w:hanging="360"/>
      </w:pPr>
    </w:lvl>
    <w:lvl w:ilvl="8" w:tplc="015C9FE6">
      <w:start w:val="1"/>
      <w:numFmt w:val="bullet"/>
      <w:lvlText w:val="●"/>
      <w:lvlJc w:val="left"/>
      <w:pPr>
        <w:ind w:left="6480" w:hanging="360"/>
      </w:pPr>
    </w:lvl>
  </w:abstractNum>
  <w:num w:numId="1" w16cid:durableId="66200867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F6B"/>
    <w:rsid w:val="00585455"/>
    <w:rsid w:val="005E172C"/>
    <w:rsid w:val="00757433"/>
    <w:rsid w:val="00814F6B"/>
    <w:rsid w:val="00992431"/>
    <w:rsid w:val="00EA395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87788"/>
  <w15:docId w15:val="{D900AA51-03BC-4920-B13D-874093811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517</Words>
  <Characters>2951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Hazen Cleary</cp:lastModifiedBy>
  <cp:revision>5</cp:revision>
  <dcterms:created xsi:type="dcterms:W3CDTF">2026-08-13T01:48:00Z</dcterms:created>
  <dcterms:modified xsi:type="dcterms:W3CDTF">2026-08-13T01:59:00Z</dcterms:modified>
</cp:coreProperties>
</file>