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DD5A" w14:textId="3FEDADA5" w:rsidR="003F6EA5" w:rsidRDefault="00000000">
      <w:pPr>
        <w:pStyle w:val="Heading1"/>
      </w:pPr>
      <w:r>
        <w:t>Psychological and emotional preparation</w:t>
      </w:r>
      <w:r w:rsidR="007159C1">
        <w:t xml:space="preserve"> checklist (draft)</w:t>
      </w:r>
    </w:p>
    <w:p w14:paraId="513E975E" w14:textId="77777777" w:rsidR="003F6EA5" w:rsidRDefault="00000000">
      <w:r>
        <w:rPr>
          <w:b/>
          <w:bCs/>
          <w:sz w:val="26"/>
          <w:szCs w:val="26"/>
        </w:rPr>
        <w:t>Decisions for your Bushfire Survival Plan</w:t>
      </w:r>
    </w:p>
    <w:p w14:paraId="6941CA89" w14:textId="54C4B7B0" w:rsidR="003F6EA5" w:rsidRDefault="00000000">
      <w:pPr>
        <w:spacing w:before="80" w:after="160"/>
      </w:pPr>
      <w:r>
        <w:rPr>
          <w:i/>
          <w:iCs/>
          <w:sz w:val="19"/>
          <w:szCs w:val="19"/>
        </w:rPr>
        <w:t xml:space="preserve">Read through the psychological preparation section of the </w:t>
      </w:r>
      <w:r w:rsidR="00526499">
        <w:rPr>
          <w:i/>
          <w:iCs/>
          <w:sz w:val="19"/>
          <w:szCs w:val="19"/>
        </w:rPr>
        <w:t>Planning</w:t>
      </w:r>
      <w:r>
        <w:rPr>
          <w:i/>
          <w:iCs/>
          <w:sz w:val="19"/>
          <w:szCs w:val="19"/>
        </w:rPr>
        <w:t xml:space="preserve"> page before completing this. These are not questions to answer later. They are decisions to make now, at the kitchen table, when you are calm. A plan that records actual decisions — not intentions — is what works under pressure.</w:t>
      </w:r>
    </w:p>
    <w:p w14:paraId="1C03DE5C" w14:textId="77777777" w:rsidR="003F6EA5" w:rsidRDefault="00000000">
      <w:pPr>
        <w:pStyle w:val="Heading2"/>
      </w:pPr>
      <w:r>
        <w:t>Section A — Understanding: confirm before moving on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604"/>
      </w:tblGrid>
      <w:tr w:rsidR="003F6EA5" w14:paraId="7611C6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63B2C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1C8F953" w14:textId="6EC04811" w:rsidR="003F6EA5" w:rsidRDefault="00000000">
            <w:r>
              <w:rPr>
                <w:b/>
                <w:bCs/>
                <w:sz w:val="20"/>
                <w:szCs w:val="20"/>
              </w:rPr>
              <w:t>I understand what a fire event will look, sound and feel like —</w:t>
            </w:r>
            <w:r>
              <w:rPr>
                <w:sz w:val="20"/>
                <w:szCs w:val="20"/>
              </w:rPr>
              <w:t xml:space="preserve"> smoke, heat, noise, darkness, ember fall. I have watched the Dr Rob Gordon video and </w:t>
            </w:r>
            <w:r w:rsidR="00526499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relevant videos.</w:t>
            </w:r>
          </w:p>
        </w:tc>
      </w:tr>
      <w:tr w:rsidR="003F6EA5" w14:paraId="0B1BD9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71BCA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721EA07" w14:textId="71D4BF35" w:rsidR="003F6EA5" w:rsidRDefault="00000000">
            <w:r>
              <w:rPr>
                <w:b/>
                <w:bCs/>
                <w:sz w:val="20"/>
                <w:szCs w:val="20"/>
              </w:rPr>
              <w:t xml:space="preserve">I understand that my thinking </w:t>
            </w:r>
            <w:r w:rsidR="00526499"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z w:val="20"/>
                <w:szCs w:val="20"/>
              </w:rPr>
              <w:t xml:space="preserve"> be impaired under extreme stress</w:t>
            </w:r>
            <w:r>
              <w:rPr>
                <w:sz w:val="20"/>
                <w:szCs w:val="20"/>
              </w:rPr>
              <w:t xml:space="preserve"> and that I will not be an exception to this.</w:t>
            </w:r>
          </w:p>
        </w:tc>
      </w:tr>
      <w:tr w:rsidR="003F6EA5" w14:paraId="72519D9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882C0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83CDF5C" w14:textId="77777777" w:rsidR="003F6EA5" w:rsidRDefault="00000000">
            <w:r>
              <w:rPr>
                <w:b/>
                <w:bCs/>
                <w:sz w:val="20"/>
                <w:szCs w:val="20"/>
              </w:rPr>
              <w:t>I understand that adrenaline masks dehydration and exhaustion —</w:t>
            </w:r>
            <w:r>
              <w:rPr>
                <w:sz w:val="20"/>
                <w:szCs w:val="20"/>
              </w:rPr>
              <w:t xml:space="preserve"> I will not feel depleted until I am seriously so.</w:t>
            </w:r>
          </w:p>
        </w:tc>
      </w:tr>
      <w:tr w:rsidR="003F6EA5" w14:paraId="0A543B2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16B904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C49350" w14:textId="77777777" w:rsidR="003F6EA5" w:rsidRDefault="00000000">
            <w:r>
              <w:rPr>
                <w:b/>
                <w:bCs/>
                <w:sz w:val="20"/>
                <w:szCs w:val="20"/>
              </w:rPr>
              <w:t>Every adult in this household has watched the Dr Rob Gordon video</w:t>
            </w:r>
            <w:r>
              <w:rPr>
                <w:sz w:val="20"/>
                <w:szCs w:val="20"/>
              </w:rPr>
              <w:t xml:space="preserve"> and discussed it together.</w:t>
            </w:r>
          </w:p>
        </w:tc>
      </w:tr>
    </w:tbl>
    <w:p w14:paraId="5C6D3D60" w14:textId="77777777" w:rsidR="003F6EA5" w:rsidRDefault="003F6EA5">
      <w:pPr>
        <w:spacing w:before="240"/>
      </w:pPr>
    </w:p>
    <w:p w14:paraId="65D8644A" w14:textId="77777777" w:rsidR="003F6EA5" w:rsidRDefault="00000000">
      <w:pPr>
        <w:pStyle w:val="Heading2"/>
      </w:pPr>
      <w:r>
        <w:t>Section B — The leaving decision</w:t>
      </w:r>
    </w:p>
    <w:p w14:paraId="398C519C" w14:textId="77777777" w:rsidR="003F6EA5" w:rsidRDefault="00000000">
      <w:pPr>
        <w:spacing w:after="120"/>
      </w:pPr>
      <w:r>
        <w:rPr>
          <w:i/>
          <w:iCs/>
          <w:sz w:val="19"/>
          <w:szCs w:val="19"/>
        </w:rPr>
        <w:t>Write the actual answers. Vague intentions are not a plan.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604"/>
      </w:tblGrid>
      <w:tr w:rsidR="003F6EA5" w14:paraId="135BFE1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3A8A2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093C53" w14:textId="77777777" w:rsidR="003F6EA5" w:rsidRDefault="00000000">
            <w:r>
              <w:rPr>
                <w:b/>
                <w:bCs/>
                <w:sz w:val="20"/>
                <w:szCs w:val="20"/>
              </w:rPr>
              <w:t>Our trigger to leave is:</w:t>
            </w:r>
            <w:r>
              <w:rPr>
                <w:color w:val="777777"/>
                <w:sz w:val="20"/>
                <w:szCs w:val="20"/>
              </w:rPr>
              <w:t xml:space="preserve">  e.g. any day forecast Extreme for Ballarat district — we leave by 10am ______________________________</w:t>
            </w:r>
          </w:p>
        </w:tc>
      </w:tr>
      <w:tr w:rsidR="003F6EA5" w14:paraId="146A28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F8C33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A22642E" w14:textId="77777777" w:rsidR="003F6EA5" w:rsidRDefault="00000000">
            <w:r>
              <w:rPr>
                <w:b/>
                <w:bCs/>
                <w:sz w:val="20"/>
                <w:szCs w:val="20"/>
              </w:rPr>
              <w:t>Our destination is:</w:t>
            </w:r>
            <w:r>
              <w:rPr>
                <w:color w:val="777777"/>
                <w:sz w:val="20"/>
                <w:szCs w:val="20"/>
              </w:rPr>
              <w:t xml:space="preserve">  specific address, not just 'away' ______________________________</w:t>
            </w:r>
          </w:p>
        </w:tc>
      </w:tr>
      <w:tr w:rsidR="003F6EA5" w14:paraId="461086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F166E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2FC59DF" w14:textId="77777777" w:rsidR="003F6EA5" w:rsidRDefault="00000000">
            <w:r>
              <w:rPr>
                <w:b/>
                <w:bCs/>
                <w:sz w:val="20"/>
                <w:szCs w:val="20"/>
              </w:rPr>
              <w:t>Our primary route is: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671058F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B32FB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AF6707" w14:textId="77777777" w:rsidR="003F6EA5" w:rsidRDefault="00000000">
            <w:r>
              <w:rPr>
                <w:b/>
                <w:bCs/>
                <w:sz w:val="20"/>
                <w:szCs w:val="20"/>
              </w:rPr>
              <w:t>Our backup route if Springs Rd is blocked: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506603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15836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120C12" w14:textId="77777777" w:rsidR="003F6EA5" w:rsidRDefault="00000000">
            <w:r>
              <w:rPr>
                <w:b/>
                <w:bCs/>
                <w:sz w:val="20"/>
                <w:szCs w:val="20"/>
              </w:rPr>
              <w:t>The person who makes the final call to leave if there is disagreement is: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31D960C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1342B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75B3A53" w14:textId="77777777" w:rsidR="003F6EA5" w:rsidRDefault="00000000">
            <w:r>
              <w:rPr>
                <w:b/>
                <w:bCs/>
                <w:sz w:val="20"/>
                <w:szCs w:val="20"/>
              </w:rPr>
              <w:t>If one household member is hesitating, the agreed response is: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2CB8849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2E8AA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84C64F" w14:textId="77777777" w:rsidR="003F6EA5" w:rsidRDefault="00000000">
            <w:r>
              <w:rPr>
                <w:b/>
                <w:bCs/>
                <w:sz w:val="20"/>
                <w:szCs w:val="20"/>
              </w:rPr>
              <w:t>We have told the following people our plan and destination: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</w:tbl>
    <w:p w14:paraId="3DC4528D" w14:textId="77777777" w:rsidR="003F6EA5" w:rsidRDefault="003F6EA5">
      <w:pPr>
        <w:spacing w:before="240"/>
      </w:pPr>
    </w:p>
    <w:p w14:paraId="2F9FCB0F" w14:textId="77777777" w:rsidR="003F6EA5" w:rsidRDefault="00000000">
      <w:pPr>
        <w:pStyle w:val="Heading2"/>
      </w:pPr>
      <w:r>
        <w:t>Section C — If we cannot leave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604"/>
      </w:tblGrid>
      <w:tr w:rsidR="003F6EA5" w14:paraId="4A49A52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DBE24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BB42DB0" w14:textId="77777777" w:rsidR="003F6EA5" w:rsidRDefault="00000000">
            <w:r>
              <w:rPr>
                <w:b/>
                <w:bCs/>
                <w:sz w:val="20"/>
                <w:szCs w:val="20"/>
              </w:rPr>
              <w:t>We have accepted that this scenario is possible</w:t>
            </w:r>
            <w:r>
              <w:rPr>
                <w:sz w:val="20"/>
                <w:szCs w:val="20"/>
              </w:rPr>
              <w:t xml:space="preserve"> and have prepared for it rather than assuming it won't happen.</w:t>
            </w:r>
          </w:p>
        </w:tc>
      </w:tr>
      <w:tr w:rsidR="003F6EA5" w14:paraId="3A5653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50EE49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9D20D55" w14:textId="77777777" w:rsidR="003F6EA5" w:rsidRDefault="00000000">
            <w:r>
              <w:rPr>
                <w:b/>
                <w:bCs/>
                <w:sz w:val="20"/>
                <w:szCs w:val="20"/>
              </w:rPr>
              <w:t>The person who stays task-focused and calls others back to the plan if panic rises is: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5482F38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C15192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F630350" w14:textId="77777777" w:rsidR="003F6EA5" w:rsidRDefault="00000000">
            <w:r>
              <w:rPr>
                <w:b/>
                <w:bCs/>
                <w:sz w:val="20"/>
                <w:szCs w:val="20"/>
              </w:rPr>
              <w:t>Children's tasks are assigned:</w:t>
            </w:r>
            <w:r>
              <w:rPr>
                <w:color w:val="777777"/>
                <w:sz w:val="20"/>
                <w:szCs w:val="20"/>
              </w:rPr>
              <w:t xml:space="preserve">  name / task ______________________________</w:t>
            </w:r>
          </w:p>
        </w:tc>
      </w:tr>
      <w:tr w:rsidR="003F6EA5" w14:paraId="2758D85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C51EE4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B3EE80C" w14:textId="77777777" w:rsidR="003F6EA5" w:rsidRDefault="00000000">
            <w:r>
              <w:rPr>
                <w:b/>
                <w:bCs/>
                <w:sz w:val="20"/>
                <w:szCs w:val="20"/>
              </w:rPr>
              <w:t>Our rest/eat/drink schedule:</w:t>
            </w:r>
            <w:r>
              <w:rPr>
                <w:sz w:val="20"/>
                <w:szCs w:val="20"/>
              </w:rPr>
              <w:t xml:space="preserve"> every 30 minutes, regardless of how we feel.</w:t>
            </w:r>
          </w:p>
        </w:tc>
      </w:tr>
      <w:tr w:rsidR="003F6EA5" w14:paraId="09FF3F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6F91F7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13F71D8" w14:textId="77777777" w:rsidR="003F6EA5" w:rsidRDefault="00000000">
            <w:r>
              <w:rPr>
                <w:b/>
                <w:bCs/>
                <w:sz w:val="20"/>
                <w:szCs w:val="20"/>
              </w:rPr>
              <w:t>Person responsible for calling the rest schedule: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45DF8E2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FA397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A39D8A" w14:textId="56543CE2" w:rsidR="003F6EA5" w:rsidRDefault="00000000">
            <w:r>
              <w:rPr>
                <w:b/>
                <w:bCs/>
                <w:sz w:val="20"/>
                <w:szCs w:val="20"/>
              </w:rPr>
              <w:t>Our personal threshold to stop going outside:</w:t>
            </w:r>
            <w:r>
              <w:rPr>
                <w:sz w:val="20"/>
                <w:szCs w:val="20"/>
              </w:rPr>
              <w:t xml:space="preserve"> e.g. when heat is painful on exposed skin / when visibility drops significantly — written down and agreed by all household members.</w:t>
            </w:r>
          </w:p>
        </w:tc>
      </w:tr>
      <w:tr w:rsidR="00526499" w14:paraId="3A664C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D6E6D" w14:textId="2BEC54C3" w:rsidR="00526499" w:rsidRDefault="00526499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FA224AF" w14:textId="78B0868F" w:rsidR="00526499" w:rsidRDefault="005264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Our personal threshold to leave the house and seek unburnt ground: </w:t>
            </w:r>
            <w:r w:rsidRPr="00526499">
              <w:rPr>
                <w:sz w:val="20"/>
                <w:szCs w:val="20"/>
              </w:rPr>
              <w:t>e.g.</w:t>
            </w:r>
            <w:r>
              <w:rPr>
                <w:sz w:val="20"/>
                <w:szCs w:val="20"/>
              </w:rPr>
              <w:t xml:space="preserve"> when </w:t>
            </w:r>
            <w:r>
              <w:rPr>
                <w:sz w:val="20"/>
                <w:szCs w:val="20"/>
              </w:rPr>
              <w:t xml:space="preserve">house </w:t>
            </w:r>
            <w:r>
              <w:rPr>
                <w:sz w:val="20"/>
                <w:szCs w:val="20"/>
              </w:rPr>
              <w:t xml:space="preserve">becomes </w:t>
            </w:r>
            <w:r>
              <w:rPr>
                <w:sz w:val="20"/>
                <w:szCs w:val="20"/>
              </w:rPr>
              <w:t>untenable</w:t>
            </w:r>
            <w:r>
              <w:rPr>
                <w:sz w:val="20"/>
                <w:szCs w:val="20"/>
              </w:rPr>
              <w:t xml:space="preserve"> and/or neighbouring house is burning and </w:t>
            </w:r>
          </w:p>
        </w:tc>
      </w:tr>
    </w:tbl>
    <w:p w14:paraId="2C5C370B" w14:textId="77777777" w:rsidR="003F6EA5" w:rsidRDefault="003F6EA5">
      <w:pPr>
        <w:spacing w:before="240"/>
      </w:pPr>
    </w:p>
    <w:p w14:paraId="68B87D88" w14:textId="77777777" w:rsidR="003F6EA5" w:rsidRDefault="00000000">
      <w:pPr>
        <w:pStyle w:val="Heading2"/>
      </w:pPr>
      <w:r>
        <w:t>Section D — Honest self-assessment</w:t>
      </w:r>
    </w:p>
    <w:p w14:paraId="08B4B0C3" w14:textId="77777777" w:rsidR="003F6EA5" w:rsidRDefault="00000000">
      <w:pPr>
        <w:spacing w:after="120"/>
      </w:pPr>
      <w:r>
        <w:rPr>
          <w:i/>
          <w:iCs/>
          <w:sz w:val="19"/>
          <w:szCs w:val="19"/>
        </w:rPr>
        <w:t>This section is for individuals. You do not need to share your answers. But you do need to be honest with yourself.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604"/>
      </w:tblGrid>
      <w:tr w:rsidR="003F6EA5" w14:paraId="1CBAFA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EDE0F7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EDC1914" w14:textId="77777777" w:rsidR="003F6EA5" w:rsidRDefault="00000000">
            <w:r>
              <w:rPr>
                <w:b/>
                <w:bCs/>
                <w:sz w:val="20"/>
                <w:szCs w:val="20"/>
              </w:rPr>
              <w:t>I have genuinely imagined the 'cannot leave' scenario —</w:t>
            </w:r>
            <w:r>
              <w:rPr>
                <w:sz w:val="20"/>
                <w:szCs w:val="20"/>
              </w:rPr>
              <w:t xml:space="preserve"> not vaguely, but specifically. I have walked through it in my mind.</w:t>
            </w:r>
          </w:p>
        </w:tc>
      </w:tr>
      <w:tr w:rsidR="003F6EA5" w14:paraId="1E2E9C3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303DC1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BDECB4" w14:textId="77777777" w:rsidR="003F6EA5" w:rsidRDefault="00000000">
            <w:r>
              <w:rPr>
                <w:b/>
                <w:bCs/>
                <w:sz w:val="20"/>
                <w:szCs w:val="20"/>
              </w:rPr>
              <w:t>I know my own stress response.</w:t>
            </w:r>
            <w:r>
              <w:rPr>
                <w:sz w:val="20"/>
                <w:szCs w:val="20"/>
              </w:rPr>
              <w:t xml:space="preserve"> If it is severe, my plan accounts for this with an earlier trigger or a nominated decision-maker.</w:t>
            </w:r>
          </w:p>
        </w:tc>
      </w:tr>
      <w:tr w:rsidR="003F6EA5" w14:paraId="592F52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AE5BB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BC2048" w14:textId="77777777" w:rsidR="003F6EA5" w:rsidRDefault="00000000">
            <w:r>
              <w:rPr>
                <w:b/>
                <w:bCs/>
                <w:sz w:val="20"/>
                <w:szCs w:val="20"/>
              </w:rPr>
              <w:t>I have identified the point at which I would abandon the house</w:t>
            </w:r>
            <w:r>
              <w:rPr>
                <w:sz w:val="20"/>
                <w:szCs w:val="20"/>
              </w:rPr>
              <w:t xml:space="preserve"> and move to burnt ground. I have accepted this as a possible outcome.</w:t>
            </w:r>
          </w:p>
        </w:tc>
      </w:tr>
      <w:tr w:rsidR="003F6EA5" w14:paraId="024ADA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F4586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E6ACD18" w14:textId="77777777" w:rsidR="003F6EA5" w:rsidRDefault="00000000">
            <w:r>
              <w:rPr>
                <w:b/>
                <w:bCs/>
                <w:sz w:val="20"/>
                <w:szCs w:val="20"/>
              </w:rPr>
              <w:t>I have written the simple fallback sequence on a card</w:t>
            </w:r>
            <w:r>
              <w:rPr>
                <w:sz w:val="20"/>
                <w:szCs w:val="20"/>
              </w:rPr>
              <w:t xml:space="preserve"> and placed it where I can find it under pressure.</w:t>
            </w:r>
          </w:p>
        </w:tc>
      </w:tr>
      <w:tr w:rsidR="003F6EA5" w14:paraId="30E448BD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4E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C9AFCE3" w14:textId="35E99B4A" w:rsidR="003F6EA5" w:rsidRDefault="00000000">
            <w:r>
              <w:rPr>
                <w:i/>
                <w:iCs/>
                <w:sz w:val="19"/>
                <w:szCs w:val="19"/>
              </w:rPr>
              <w:t xml:space="preserve">The fallback sequence: Close doors. Stay low. Check for smoke. Address small fires immediately. Don't go outside if heat is </w:t>
            </w:r>
            <w:r w:rsidR="00526499">
              <w:rPr>
                <w:i/>
                <w:iCs/>
                <w:sz w:val="19"/>
                <w:szCs w:val="19"/>
              </w:rPr>
              <w:t>intense</w:t>
            </w:r>
            <w:r>
              <w:rPr>
                <w:i/>
                <w:iCs/>
                <w:sz w:val="19"/>
                <w:szCs w:val="19"/>
              </w:rPr>
              <w:t>. Move to already-burnt ground if the house becomes untenable</w:t>
            </w:r>
            <w:r w:rsidR="00526499">
              <w:rPr>
                <w:i/>
                <w:iCs/>
                <w:sz w:val="19"/>
                <w:szCs w:val="19"/>
              </w:rPr>
              <w:t xml:space="preserve"> and or neighbours house is burning.</w:t>
            </w:r>
          </w:p>
        </w:tc>
      </w:tr>
    </w:tbl>
    <w:p w14:paraId="40C754F1" w14:textId="77777777" w:rsidR="003F6EA5" w:rsidRDefault="003F6EA5">
      <w:pPr>
        <w:spacing w:before="240"/>
      </w:pPr>
    </w:p>
    <w:p w14:paraId="3A12676C" w14:textId="77777777" w:rsidR="003F6EA5" w:rsidRDefault="00000000">
      <w:pPr>
        <w:pStyle w:val="Heading2"/>
      </w:pPr>
      <w:r>
        <w:t>Section E — Household agreement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604"/>
      </w:tblGrid>
      <w:tr w:rsidR="003F6EA5" w14:paraId="548D7B8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166F80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AC07676" w14:textId="77777777" w:rsidR="003F6EA5" w:rsidRDefault="00000000">
            <w:r>
              <w:rPr>
                <w:b/>
                <w:bCs/>
                <w:sz w:val="20"/>
                <w:szCs w:val="20"/>
              </w:rPr>
              <w:t>Every adult in the household has read this plan.</w:t>
            </w:r>
          </w:p>
        </w:tc>
      </w:tr>
      <w:tr w:rsidR="003F6EA5" w14:paraId="2D3BBD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91B79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82FCF98" w14:textId="77777777" w:rsidR="003F6EA5" w:rsidRDefault="00000000">
            <w:r>
              <w:rPr>
                <w:b/>
                <w:bCs/>
                <w:sz w:val="20"/>
                <w:szCs w:val="20"/>
              </w:rPr>
              <w:t>Every adult agrees with and will act on the leaving trigger without debate on the day.</w:t>
            </w:r>
          </w:p>
        </w:tc>
      </w:tr>
      <w:tr w:rsidR="003F6EA5" w14:paraId="11A6CA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1DC0C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C39E8F" w14:textId="77777777" w:rsidR="003F6EA5" w:rsidRDefault="00000000">
            <w:r>
              <w:rPr>
                <w:b/>
                <w:bCs/>
                <w:sz w:val="20"/>
                <w:szCs w:val="20"/>
              </w:rPr>
              <w:t>Date plan completed: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  <w:tr w:rsidR="003F6EA5" w14:paraId="1B5BFF3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13DE0" w14:textId="77777777" w:rsidR="003F6EA5" w:rsidRDefault="00000000">
            <w:pPr>
              <w:jc w:val="center"/>
            </w:pPr>
            <w:r>
              <w:t>☐</w:t>
            </w:r>
          </w:p>
        </w:tc>
        <w:tc>
          <w:tcPr>
            <w:tcW w:w="96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6FA00D" w14:textId="77777777" w:rsidR="003F6EA5" w:rsidRDefault="00000000">
            <w:r>
              <w:rPr>
                <w:b/>
                <w:bCs/>
                <w:sz w:val="20"/>
                <w:szCs w:val="20"/>
              </w:rPr>
              <w:t>Date plan last reviewed:</w:t>
            </w:r>
            <w:r>
              <w:rPr>
                <w:color w:val="777777"/>
                <w:sz w:val="20"/>
                <w:szCs w:val="20"/>
              </w:rPr>
              <w:t xml:space="preserve">   ______________________________</w:t>
            </w:r>
          </w:p>
        </w:tc>
      </w:tr>
    </w:tbl>
    <w:p w14:paraId="335AE1C9" w14:textId="77777777" w:rsidR="003F6EA5" w:rsidRDefault="003F6EA5">
      <w:pPr>
        <w:spacing w:before="360"/>
      </w:pPr>
    </w:p>
    <w:p w14:paraId="1FB35CE7" w14:textId="1FFCE4F2" w:rsidR="003F6EA5" w:rsidRDefault="00000000" w:rsidP="007159C1">
      <w:pPr>
        <w:pBdr>
          <w:top w:val="single" w:sz="6" w:space="8" w:color="1F6B2E"/>
        </w:pBdr>
        <w:spacing w:before="160"/>
      </w:pPr>
      <w:r>
        <w:rPr>
          <w:color w:val="777777"/>
          <w:sz w:val="16"/>
          <w:szCs w:val="16"/>
        </w:rPr>
        <w:t>Brown Hill FireAware Network — a community initiative</w:t>
      </w:r>
      <w:r w:rsidR="007159C1">
        <w:rPr>
          <w:color w:val="777777"/>
          <w:sz w:val="16"/>
          <w:szCs w:val="16"/>
        </w:rPr>
        <w:t xml:space="preserve">. </w:t>
      </w:r>
      <w:r>
        <w:rPr>
          <w:i/>
          <w:iCs/>
          <w:color w:val="777777"/>
          <w:sz w:val="16"/>
          <w:szCs w:val="16"/>
        </w:rPr>
        <w:t>Not official CFA advice. Prepared in good faith from publicly available fire science research and expert guidance. See full disclaimer on the FireAware website.</w:t>
      </w:r>
    </w:p>
    <w:sectPr w:rsidR="003F6EA5">
      <w:pgSz w:w="11906" w:h="16838"/>
      <w:pgMar w:top="851" w:right="851" w:bottom="851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7F3C"/>
    <w:multiLevelType w:val="hybridMultilevel"/>
    <w:tmpl w:val="FB00C02C"/>
    <w:lvl w:ilvl="0" w:tplc="D21624C6">
      <w:start w:val="1"/>
      <w:numFmt w:val="bullet"/>
      <w:lvlText w:val="●"/>
      <w:lvlJc w:val="left"/>
      <w:pPr>
        <w:ind w:left="720" w:hanging="360"/>
      </w:pPr>
    </w:lvl>
    <w:lvl w:ilvl="1" w:tplc="46F0F31E">
      <w:start w:val="1"/>
      <w:numFmt w:val="bullet"/>
      <w:lvlText w:val="○"/>
      <w:lvlJc w:val="left"/>
      <w:pPr>
        <w:ind w:left="1440" w:hanging="360"/>
      </w:pPr>
    </w:lvl>
    <w:lvl w:ilvl="2" w:tplc="6D8060F6">
      <w:start w:val="1"/>
      <w:numFmt w:val="bullet"/>
      <w:lvlText w:val="■"/>
      <w:lvlJc w:val="left"/>
      <w:pPr>
        <w:ind w:left="2160" w:hanging="360"/>
      </w:pPr>
    </w:lvl>
    <w:lvl w:ilvl="3" w:tplc="493C03B4">
      <w:start w:val="1"/>
      <w:numFmt w:val="bullet"/>
      <w:lvlText w:val="●"/>
      <w:lvlJc w:val="left"/>
      <w:pPr>
        <w:ind w:left="2880" w:hanging="360"/>
      </w:pPr>
    </w:lvl>
    <w:lvl w:ilvl="4" w:tplc="4C84B2C4">
      <w:start w:val="1"/>
      <w:numFmt w:val="bullet"/>
      <w:lvlText w:val="○"/>
      <w:lvlJc w:val="left"/>
      <w:pPr>
        <w:ind w:left="3600" w:hanging="360"/>
      </w:pPr>
    </w:lvl>
    <w:lvl w:ilvl="5" w:tplc="9A8ED578">
      <w:start w:val="1"/>
      <w:numFmt w:val="bullet"/>
      <w:lvlText w:val="■"/>
      <w:lvlJc w:val="left"/>
      <w:pPr>
        <w:ind w:left="4320" w:hanging="360"/>
      </w:pPr>
    </w:lvl>
    <w:lvl w:ilvl="6" w:tplc="DB68D47C">
      <w:start w:val="1"/>
      <w:numFmt w:val="bullet"/>
      <w:lvlText w:val="●"/>
      <w:lvlJc w:val="left"/>
      <w:pPr>
        <w:ind w:left="5040" w:hanging="360"/>
      </w:pPr>
    </w:lvl>
    <w:lvl w:ilvl="7" w:tplc="1EDAE07C">
      <w:start w:val="1"/>
      <w:numFmt w:val="bullet"/>
      <w:lvlText w:val="●"/>
      <w:lvlJc w:val="left"/>
      <w:pPr>
        <w:ind w:left="5760" w:hanging="360"/>
      </w:pPr>
    </w:lvl>
    <w:lvl w:ilvl="8" w:tplc="736A0638">
      <w:start w:val="1"/>
      <w:numFmt w:val="bullet"/>
      <w:lvlText w:val="●"/>
      <w:lvlJc w:val="left"/>
      <w:pPr>
        <w:ind w:left="6480" w:hanging="360"/>
      </w:pPr>
    </w:lvl>
  </w:abstractNum>
  <w:num w:numId="1" w16cid:durableId="1869298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A5"/>
    <w:rsid w:val="00135724"/>
    <w:rsid w:val="003F6EA5"/>
    <w:rsid w:val="00526499"/>
    <w:rsid w:val="007159C1"/>
    <w:rsid w:val="00F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3738"/>
  <w15:docId w15:val="{5C95B747-F0FB-4A15-99C2-8DFDAAAF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04040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60"/>
      <w:outlineLvl w:val="0"/>
    </w:pPr>
    <w:rPr>
      <w:b/>
      <w:bCs/>
      <w:color w:val="1F6B2E"/>
      <w:sz w:val="32"/>
      <w:szCs w:val="32"/>
    </w:rPr>
  </w:style>
  <w:style w:type="paragraph" w:styleId="Heading2">
    <w:name w:val="heading 2"/>
    <w:uiPriority w:val="9"/>
    <w:unhideWhenUsed/>
    <w:qFormat/>
    <w:pPr>
      <w:spacing w:before="160" w:after="100"/>
      <w:outlineLvl w:val="1"/>
    </w:pPr>
    <w:rPr>
      <w:b/>
      <w:bCs/>
      <w:color w:val="1F6B2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Hazen Cleary</cp:lastModifiedBy>
  <cp:revision>2</cp:revision>
  <dcterms:created xsi:type="dcterms:W3CDTF">2026-06-05T09:03:00Z</dcterms:created>
  <dcterms:modified xsi:type="dcterms:W3CDTF">2026-06-05T09:03:00Z</dcterms:modified>
</cp:coreProperties>
</file>